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rPr>
          <w:rFonts w:hint="eastAsia" w:eastAsia="方正黑体_GBK"/>
          <w:sz w:val="33"/>
          <w:szCs w:val="33"/>
          <w:lang w:val="en-US" w:eastAsia="zh-CN"/>
        </w:rPr>
      </w:pPr>
      <w:r>
        <w:rPr>
          <w:rFonts w:hint="eastAsia" w:ascii="方正黑体_GBK" w:hAnsi="方正黑体_GBK" w:eastAsia="方正黑体_GBK" w:cs="方正黑体_GBK"/>
          <w:sz w:val="33"/>
          <w:szCs w:val="33"/>
        </w:rPr>
        <w:t>附件</w:t>
      </w:r>
      <w:r>
        <w:rPr>
          <w:rFonts w:hint="eastAsia" w:ascii="方正黑体_GBK" w:hAnsi="方正黑体_GBK" w:eastAsia="方正黑体_GBK" w:cs="方正黑体_GBK"/>
          <w:sz w:val="33"/>
          <w:szCs w:val="33"/>
          <w:lang w:val="en-US" w:eastAsia="zh-CN"/>
        </w:rPr>
        <w:t>7</w:t>
      </w:r>
    </w:p>
    <w:p>
      <w:pPr>
        <w:tabs>
          <w:tab w:val="left" w:pos="1440"/>
        </w:tabs>
        <w:spacing w:line="600" w:lineRule="exact"/>
        <w:rPr>
          <w:rFonts w:ascii="宋体" w:hAnsi="宋体" w:eastAsia="宋体"/>
          <w:sz w:val="30"/>
          <w:szCs w:val="30"/>
        </w:rPr>
      </w:pPr>
    </w:p>
    <w:p>
      <w:pPr>
        <w:pStyle w:val="7"/>
        <w:spacing w:line="600" w:lineRule="exact"/>
        <w:jc w:val="center"/>
        <w:rPr>
          <w:rFonts w:ascii="方正小标宋简体" w:hAnsi="宋体" w:eastAsia="方正小标宋简体"/>
          <w:sz w:val="44"/>
          <w:szCs w:val="44"/>
        </w:rPr>
      </w:pPr>
      <w:r>
        <w:rPr>
          <w:rFonts w:hint="eastAsia" w:ascii="方正小标宋简体" w:hAnsi="宋体" w:eastAsia="方正小标宋简体"/>
          <w:sz w:val="44"/>
          <w:szCs w:val="44"/>
        </w:rPr>
        <w:t>项目支出绩效自评报告范本</w:t>
      </w:r>
    </w:p>
    <w:p>
      <w:pPr>
        <w:pStyle w:val="7"/>
        <w:spacing w:line="600" w:lineRule="exact"/>
        <w:ind w:firstLine="883"/>
        <w:jc w:val="center"/>
        <w:rPr>
          <w:rFonts w:ascii="仿宋_GB2312" w:hAnsi="宋体" w:eastAsia="仿宋_GB2312"/>
          <w:color w:val="auto"/>
          <w:kern w:val="2"/>
          <w:sz w:val="32"/>
          <w:szCs w:val="32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（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政法业务培训经费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）</w:t>
      </w:r>
    </w:p>
    <w:p>
      <w:pPr>
        <w:pStyle w:val="7"/>
        <w:spacing w:line="60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  <w:lang w:val="zh-CN"/>
        </w:rPr>
      </w:pPr>
      <w:r>
        <w:rPr>
          <w:rFonts w:hint="eastAsia" w:ascii="黑体" w:hAnsi="宋体" w:eastAsia="黑体"/>
        </w:rPr>
        <w:t>一、</w:t>
      </w:r>
      <w:r>
        <w:rPr>
          <w:rFonts w:hint="eastAsia" w:ascii="黑体" w:hAnsi="宋体" w:eastAsia="黑体"/>
          <w:lang w:val="zh-CN"/>
        </w:rPr>
        <w:t>项目概况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（一）项目基本情况。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1．为深入学习贯彻习近平法治思想，进步提高政法委系统干警思想政治能力建设，全面提升理论素养、知识水平和依法行政能力，营造良好的政法业务氛围，不断推动政法委业务能力。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2．项目立项、资金申报的依据。</w:t>
      </w:r>
    </w:p>
    <w:p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该项目的实施保障全县政法业务培训。</w:t>
      </w:r>
    </w:p>
    <w:p>
      <w:pPr>
        <w:numPr>
          <w:ilvl w:val="0"/>
          <w:numId w:val="1"/>
        </w:num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资金管理办法制定情况，资金支持具体项目的条件、范围与支持方式概况。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项目实施严格有专人领导负责实施，保证项目的实施过程中严格把控项目的质量和不利因素的发生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ind w:firstLine="64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4．资金分配的原则及考虑因素。</w:t>
      </w:r>
    </w:p>
    <w:p>
      <w:pPr>
        <w:adjustRightInd w:val="0"/>
        <w:snapToGrid w:val="0"/>
        <w:spacing w:line="580" w:lineRule="exact"/>
        <w:ind w:firstLine="480" w:firstLineChars="15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资金严格按照预算支出专款专用，考虑到项目预算一系列开支未精确到细枝末节，我局妥善按比例从项目支出。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（二）项目绩效目标。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1．项目主要内容。</w:t>
      </w:r>
    </w:p>
    <w:p>
      <w:pPr>
        <w:adjustRightInd w:val="0"/>
        <w:snapToGrid w:val="0"/>
        <w:spacing w:line="600" w:lineRule="exact"/>
        <w:ind w:firstLine="72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>该项目的实施保障全县政法业务培训。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2.</w:t>
      </w:r>
      <w:r>
        <w:rPr>
          <w:rFonts w:hint="eastAsia" w:ascii="仿宋_GB2312" w:hAnsi="宋体"/>
          <w:lang w:val="zh-CN"/>
        </w:rPr>
        <w:t>项目应实现的具体绩效目标，包括目标的量化、细化情况以及项目实施进度计划等。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eastAsia="仿宋_GB2312"/>
          <w:lang w:val="en-US" w:eastAsia="zh-CN"/>
        </w:rPr>
      </w:pPr>
      <w:r>
        <w:rPr>
          <w:rFonts w:hint="eastAsia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通过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峨边县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网格及设备更新</w:t>
      </w:r>
      <w:r>
        <w:rPr>
          <w:rFonts w:hint="eastAsia" w:ascii="仿宋_GB2312" w:hAnsi="宋体"/>
          <w:color w:val="auto"/>
          <w:kern w:val="2"/>
          <w:sz w:val="32"/>
          <w:szCs w:val="32"/>
          <w:lang w:val="en-US" w:eastAsia="zh-CN"/>
        </w:rPr>
        <w:t>项目资金的使用和效益情况开展财政重点绩效评价，加强支出管理，强化支出责任，评估投入产出效果，确定投入的重点和方向。根据绩效评价中发现的问题，规范项目管理，加强财务管理，提高财政资金使用效益。</w:t>
      </w:r>
    </w:p>
    <w:p>
      <w:pPr>
        <w:numPr>
          <w:ilvl w:val="0"/>
          <w:numId w:val="2"/>
        </w:numPr>
        <w:adjustRightInd w:val="0"/>
        <w:snapToGrid w:val="0"/>
        <w:spacing w:line="600" w:lineRule="exact"/>
        <w:ind w:firstLine="720" w:firstLineChars="0"/>
        <w:rPr>
          <w:rFonts w:hint="eastAsia"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分析评价申报内容是否与实际相符，申报目标是否合理可行。</w:t>
      </w:r>
    </w:p>
    <w:p>
      <w:pPr>
        <w:adjustRightInd w:val="0"/>
        <w:snapToGrid w:val="0"/>
        <w:spacing w:line="600" w:lineRule="exact"/>
        <w:ind w:firstLine="720"/>
        <w:rPr>
          <w:lang w:val="zh-CN"/>
        </w:rPr>
      </w:pPr>
      <w:r>
        <w:rPr>
          <w:rFonts w:hint="eastAsia" w:ascii="仿宋_GB2312" w:hAnsi="宋体"/>
          <w:lang w:val="zh-CN"/>
        </w:rPr>
        <w:t>分析评价申报内容与实际相符，申报目标是合理可行的。</w:t>
      </w:r>
    </w:p>
    <w:p>
      <w:pPr>
        <w:adjustRightInd w:val="0"/>
        <w:snapToGrid w:val="0"/>
        <w:spacing w:line="600" w:lineRule="exact"/>
        <w:ind w:firstLine="720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（三）项目自评步骤及方法。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</w:pP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项目采取</w:t>
      </w:r>
      <w:r>
        <w:rPr>
          <w:rFonts w:hint="eastAsia" w:ascii="仿宋_GB2312" w:hAnsi="仿宋_GB2312" w:eastAsia="仿宋_GB2312" w:cs="仿宋_GB2312"/>
          <w:b w:val="0"/>
          <w:bCs w:val="0"/>
          <w:color w:val="000000"/>
          <w:sz w:val="32"/>
          <w:szCs w:val="32"/>
        </w:rPr>
        <w:t>满意值赋分法：</w:t>
      </w:r>
      <w:r>
        <w:rPr>
          <w:rFonts w:hint="eastAsia" w:ascii="仿宋_GB2312" w:hAnsi="仿宋_GB2312" w:eastAsia="仿宋_GB2312" w:cs="仿宋_GB2312"/>
          <w:color w:val="000000"/>
          <w:sz w:val="32"/>
          <w:szCs w:val="32"/>
        </w:rPr>
        <w:t>设置一个满意值，指标值达到满意值得满分，未达到不得分或扣分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成立项目自评小组，结合评价内容，做到有计划，有安排，扎实开展本次自评工作。按照上级下达的项目支出绩效评价指标体系，自评小组针对申报内容、实施情况、资金兑现、财务管理、社会效益等做出自我评价，认真听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取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建议意见，做好自评工作。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二、项目资金申报及使用情况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（一）项目资金申报及批复情况。</w:t>
      </w:r>
    </w:p>
    <w:p>
      <w:pPr>
        <w:numPr>
          <w:ilvl w:val="0"/>
          <w:numId w:val="0"/>
        </w:numPr>
        <w:adjustRightInd w:val="0"/>
        <w:snapToGrid w:val="0"/>
        <w:spacing w:line="560" w:lineRule="exact"/>
        <w:ind w:firstLine="640" w:firstLineChars="200"/>
        <w:rPr>
          <w:lang w:val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项目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经费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202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年初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申报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预算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万元，</w:t>
      </w:r>
      <w:r>
        <w:rPr>
          <w:rFonts w:hint="eastAsia" w:ascii="仿宋_GB2312" w:hAnsi="仿宋_GB2312" w:eastAsia="仿宋_GB2312" w:cs="仿宋_GB2312"/>
          <w:sz w:val="32"/>
          <w:szCs w:val="32"/>
          <w:lang w:val="zh-CN" w:eastAsia="zh-CN"/>
        </w:rPr>
        <w:t>批复</w:t>
      </w:r>
      <w:r>
        <w:rPr>
          <w:rFonts w:hint="eastAsia" w:ascii="仿宋_GB2312" w:hAnsi="仿宋_GB2312" w:cs="仿宋_GB2312"/>
          <w:sz w:val="32"/>
          <w:szCs w:val="32"/>
          <w:lang w:val="en-US" w:eastAsia="zh-CN"/>
        </w:rPr>
        <w:t>0.67</w:t>
      </w:r>
      <w:r>
        <w:rPr>
          <w:rFonts w:hint="eastAsia" w:ascii="仿宋_GB2312" w:hAnsi="仿宋_GB2312" w:eastAsia="仿宋_GB2312" w:cs="仿宋_GB2312"/>
          <w:sz w:val="32"/>
          <w:szCs w:val="32"/>
          <w:lang w:val="zh-CN"/>
        </w:rPr>
        <w:t>万。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（二）资金计划、到位及使用情况（可用表格形式反映）。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1．资金计划。</w:t>
      </w:r>
      <w:r>
        <w:rPr>
          <w:rFonts w:hint="eastAsia" w:ascii="仿宋_GB2312" w:hAnsi="宋体" w:eastAsia="仿宋_GB2312"/>
          <w:color w:val="auto"/>
          <w:kern w:val="2"/>
          <w:sz w:val="32"/>
          <w:szCs w:val="32"/>
        </w:rPr>
        <w:t>网格及设备更新</w:t>
      </w:r>
      <w:r>
        <w:rPr>
          <w:rFonts w:hint="eastAsia" w:ascii="仿宋_GB2312" w:hAnsi="宋体"/>
          <w:lang w:val="en-US" w:eastAsia="zh-CN"/>
        </w:rPr>
        <w:t>工作经费</w:t>
      </w:r>
      <w:r>
        <w:rPr>
          <w:rFonts w:hint="eastAsia" w:ascii="仿宋_GB2312" w:hAnsi="宋体"/>
          <w:u w:val="none"/>
          <w:lang w:val="en-US" w:eastAsia="zh-CN"/>
        </w:rPr>
        <w:t>项目在</w:t>
      </w:r>
      <w:r>
        <w:rPr>
          <w:rFonts w:hint="eastAsia" w:ascii="仿宋_GB2312" w:hAnsi="宋体"/>
          <w:lang w:val="zh-CN"/>
        </w:rPr>
        <w:t>资金计划的基础上，财政安排</w:t>
      </w:r>
      <w:r>
        <w:rPr>
          <w:rFonts w:hint="eastAsia" w:ascii="仿宋_GB2312" w:hAnsi="宋体"/>
          <w:u w:val="none"/>
          <w:lang w:val="en-US" w:eastAsia="zh-CN"/>
        </w:rPr>
        <w:t>0.67</w:t>
      </w:r>
      <w:r>
        <w:rPr>
          <w:rFonts w:hint="eastAsia" w:ascii="仿宋_GB2312" w:hAnsi="宋体"/>
          <w:lang w:val="en-US" w:eastAsia="zh-CN"/>
        </w:rPr>
        <w:t>万元</w:t>
      </w:r>
      <w:r>
        <w:rPr>
          <w:rFonts w:hint="eastAsia" w:ascii="仿宋_GB2312" w:hAnsi="宋体"/>
          <w:lang w:val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en-US" w:eastAsia="zh-CN"/>
        </w:rPr>
      </w:pPr>
      <w:r>
        <w:rPr>
          <w:rFonts w:hint="eastAsia" w:ascii="楷体_GB2312" w:hAnsi="宋体" w:eastAsia="楷体_GB2312"/>
          <w:lang w:val="zh-CN"/>
        </w:rPr>
        <w:t>2．资金到位。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资金到位</w:t>
      </w:r>
      <w:r>
        <w:rPr>
          <w:rFonts w:hint="eastAsia" w:ascii="仿宋_GB2312" w:hAnsi="宋体"/>
          <w:lang w:val="en-US" w:eastAsia="zh-CN"/>
        </w:rPr>
        <w:t>0.67万元</w:t>
      </w:r>
      <w:r>
        <w:rPr>
          <w:rFonts w:hint="eastAsia" w:ascii="仿宋_GB2312" w:hAnsi="宋体"/>
          <w:lang w:val="zh-CN"/>
        </w:rPr>
        <w:t>。资金到位情况与资金计划进行比对，到位比例</w:t>
      </w:r>
      <w:r>
        <w:rPr>
          <w:rFonts w:hint="eastAsia" w:ascii="仿宋_GB2312" w:hAnsi="宋体"/>
          <w:lang w:val="en-US" w:eastAsia="zh-CN"/>
        </w:rPr>
        <w:t>100%。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仿宋_GB2312" w:hAnsi="宋体"/>
          <w:lang w:val="zh-CN"/>
        </w:rPr>
      </w:pPr>
      <w:r>
        <w:rPr>
          <w:rFonts w:hint="eastAsia" w:ascii="楷体_GB2312" w:hAnsi="宋体" w:eastAsia="楷体_GB2312"/>
          <w:lang w:val="zh-CN"/>
        </w:rPr>
        <w:t>3．资金使用。</w:t>
      </w:r>
      <w:r>
        <w:rPr>
          <w:rFonts w:hint="eastAsia" w:ascii="仿宋_GB2312" w:hAnsi="宋体"/>
          <w:u w:val="none"/>
          <w:lang w:val="zh-CN" w:eastAsia="zh-CN"/>
        </w:rPr>
        <w:t>截止</w:t>
      </w:r>
      <w:r>
        <w:rPr>
          <w:rFonts w:hint="eastAsia" w:ascii="仿宋_GB2312" w:hAnsi="宋体"/>
          <w:u w:val="none"/>
          <w:lang w:val="en-US" w:eastAsia="zh-CN"/>
        </w:rPr>
        <w:t>2022年12月31日，目在</w:t>
      </w:r>
      <w:r>
        <w:rPr>
          <w:rFonts w:hint="eastAsia" w:ascii="仿宋_GB2312" w:hAnsi="宋体"/>
          <w:lang w:val="zh-CN"/>
        </w:rPr>
        <w:t>资金使用</w:t>
      </w:r>
      <w:r>
        <w:rPr>
          <w:rFonts w:hint="eastAsia" w:ascii="仿宋_GB2312" w:hAnsi="宋体"/>
          <w:u w:val="none"/>
          <w:lang w:val="en-US" w:eastAsia="zh-CN"/>
        </w:rPr>
        <w:t>0.67</w:t>
      </w:r>
      <w:r>
        <w:rPr>
          <w:rFonts w:hint="eastAsia" w:ascii="仿宋_GB2312" w:hAnsi="宋体"/>
          <w:lang w:val="en-US" w:eastAsia="zh-CN"/>
        </w:rPr>
        <w:t>万元，使用比例100</w:t>
      </w:r>
      <w:bookmarkStart w:id="0" w:name="_GoBack"/>
      <w:bookmarkEnd w:id="0"/>
      <w:r>
        <w:rPr>
          <w:rFonts w:hint="eastAsia" w:ascii="仿宋_GB2312" w:hAnsi="宋体"/>
          <w:lang w:val="en-US" w:eastAsia="zh-CN"/>
        </w:rPr>
        <w:t>%。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（三）项目财务管理情况。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宋体" w:eastAsia="仿宋_GB2312"/>
          <w:color w:val="auto"/>
          <w:kern w:val="2"/>
          <w:sz w:val="32"/>
          <w:szCs w:val="32"/>
          <w:lang w:eastAsia="zh-CN"/>
        </w:rPr>
        <w:t>政法业务培训经费</w:t>
      </w:r>
      <w:r>
        <w:rPr>
          <w:rFonts w:hint="eastAsia" w:ascii="仿宋_GB2312" w:hAnsi="宋体"/>
          <w:u w:val="none"/>
          <w:lang w:val="en-US"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经费采取授权支付形式，由财政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，按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项目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进度严格按照项目资金管理办法对资金进行计划申请、划拨、使用，及时、规范对收支进行账务处理和会计核算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三、项目实施及管理情况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zh-CN"/>
        </w:rPr>
        <w:t>结合项目组织实施管理办法，重点围绕以下内容进行分析评价，并对自评中发现的问题分析说明。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zh-CN"/>
        </w:rPr>
        <w:t>项目组织架构及实施流程。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</w:t>
      </w:r>
      <w:r>
        <w:rPr>
          <w:rFonts w:hint="eastAsia" w:ascii="楷体_GB2312" w:hAnsi="宋体" w:eastAsia="楷体_GB2312"/>
          <w:b w:val="0"/>
          <w:bCs/>
          <w:lang w:val="en-US" w:eastAsia="zh-CN"/>
        </w:rPr>
        <w:t>1、由项目负责人负责编制项目编报。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2、由单位负责人审核项目的可行性。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lang w:val="zh-CN"/>
        </w:rPr>
      </w:pPr>
      <w:r>
        <w:rPr>
          <w:rFonts w:hint="eastAsia" w:ascii="楷体_GB2312" w:hAnsi="宋体" w:eastAsia="楷体_GB2312"/>
          <w:b w:val="0"/>
          <w:bCs/>
          <w:lang w:val="en-US" w:eastAsia="zh-CN"/>
        </w:rPr>
        <w:t xml:space="preserve">    3、由财政局对口股室审核通过。</w:t>
      </w:r>
    </w:p>
    <w:p>
      <w:pPr>
        <w:numPr>
          <w:ilvl w:val="0"/>
          <w:numId w:val="3"/>
        </w:numPr>
        <w:adjustRightInd w:val="0"/>
        <w:snapToGrid w:val="0"/>
        <w:spacing w:line="600" w:lineRule="exact"/>
        <w:ind w:firstLine="720" w:firstLineChars="0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项目管理情况。</w:t>
      </w:r>
    </w:p>
    <w:p>
      <w:pPr>
        <w:numPr>
          <w:ilvl w:val="0"/>
          <w:numId w:val="0"/>
        </w:numPr>
        <w:adjustRightInd w:val="0"/>
        <w:snapToGrid w:val="0"/>
        <w:spacing w:line="600" w:lineRule="exact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lang w:eastAsia="zh-CN"/>
        </w:rPr>
        <w:t>根据</w:t>
      </w:r>
      <w:r>
        <w:rPr>
          <w:rFonts w:hint="eastAsia" w:ascii="仿宋_GB2312" w:hAnsi="仿宋_GB2312" w:cs="仿宋_GB2312"/>
          <w:lang w:eastAsia="zh-CN"/>
        </w:rPr>
        <w:t>项目资金使用要求，严格项目实施可行性和审核程序</w:t>
      </w:r>
      <w:r>
        <w:rPr>
          <w:rFonts w:hint="eastAsia" w:ascii="仿宋_GB2312" w:hAnsi="仿宋_GB2312" w:eastAsia="仿宋_GB2312" w:cs="仿宋_GB2312"/>
          <w:sz w:val="32"/>
          <w:szCs w:val="32"/>
        </w:rPr>
        <w:t>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 （三）</w:t>
      </w:r>
      <w:r>
        <w:rPr>
          <w:rFonts w:hint="eastAsia" w:ascii="楷体_GB2312" w:hAnsi="宋体" w:eastAsia="楷体_GB2312"/>
          <w:b/>
          <w:lang w:val="zh-CN"/>
        </w:rPr>
        <w:t>项目监管情况。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ascii="仿宋_GB2312" w:hAnsi="宋体"/>
          <w:lang w:val="zh-CN"/>
        </w:rPr>
      </w:pPr>
      <w:r>
        <w:rPr>
          <w:rFonts w:hint="eastAsia" w:ascii="仿宋_GB2312" w:hAnsi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项目资金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由县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财政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局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</w:rPr>
        <w:t>具体管理，按计划，制定管理制度，对项目资金按项目单独核算实行“专款专用、专人管理”，不得挤占挪用项目资金。强化监督，项目的正常实施监督检查是保障。指派专人长期对项目的实施定期或不定期的进行现场检查和监督，及时协调解决困难和问题</w:t>
      </w:r>
      <w:r>
        <w:rPr>
          <w:rFonts w:hint="eastAsia" w:ascii="仿宋_GB2312" w:hAnsi="仿宋_GB2312" w:eastAsia="仿宋_GB2312" w:cs="仿宋_GB2312"/>
          <w:b w:val="0"/>
          <w:i w:val="0"/>
          <w:caps w:val="0"/>
          <w:color w:val="000000"/>
          <w:spacing w:val="0"/>
          <w:sz w:val="32"/>
          <w:szCs w:val="32"/>
          <w:shd w:val="clear" w:color="auto" w:fill="FFFFFF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仿宋_GB2312" w:hAnsi="宋体"/>
          <w:lang w:val="zh-CN"/>
        </w:rPr>
      </w:pPr>
      <w:r>
        <w:rPr>
          <w:rFonts w:hint="eastAsia" w:ascii="黑体" w:hAnsi="宋体" w:eastAsia="黑体"/>
        </w:rPr>
        <w:t>四、项目绩效情况</w:t>
      </w:r>
      <w:r>
        <w:rPr>
          <w:rFonts w:hint="eastAsia" w:ascii="仿宋_GB2312" w:hAnsi="宋体"/>
          <w:lang w:val="zh-CN"/>
        </w:rPr>
        <w:tab/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楷体_GB2312" w:hAnsi="宋体" w:eastAsia="楷体_GB2312"/>
          <w:b/>
          <w:lang w:val="zh-CN"/>
        </w:rPr>
        <w:t>（一）项目决策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zh-CN"/>
        </w:rPr>
        <w:t>项目根据社会必要性、可行性、明确性、合理性进行决策。</w:t>
      </w:r>
    </w:p>
    <w:p>
      <w:pPr>
        <w:keepNext w:val="0"/>
        <w:keepLines w:val="0"/>
        <w:pageBreakBefore w:val="0"/>
        <w:numPr>
          <w:ilvl w:val="0"/>
          <w:numId w:val="4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ind w:firstLine="720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>项目管理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仿宋_GB2312" w:hAnsi="仿宋_GB2312" w:cs="仿宋_GB2312"/>
          <w:b w:val="0"/>
          <w:bCs/>
          <w:lang w:val="en-US" w:eastAsia="zh-CN"/>
        </w:rPr>
      </w:pPr>
      <w:r>
        <w:rPr>
          <w:rFonts w:hint="eastAsia" w:ascii="楷体_GB2312" w:hAnsi="宋体" w:eastAsia="楷体_GB2312"/>
          <w:b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项目在资金分配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资金使用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、</w:t>
      </w:r>
      <w:r>
        <w:rPr>
          <w:rFonts w:hint="eastAsia" w:ascii="仿宋_GB2312" w:hAnsi="仿宋_GB2312" w:eastAsia="仿宋_GB2312" w:cs="仿宋_GB2312"/>
          <w:b w:val="0"/>
          <w:bCs/>
          <w:lang w:val="en-US" w:eastAsia="zh-CN"/>
        </w:rPr>
        <w:t>执行规范</w:t>
      </w:r>
      <w:r>
        <w:rPr>
          <w:rFonts w:hint="eastAsia" w:ascii="仿宋_GB2312" w:hAnsi="仿宋_GB2312" w:cs="仿宋_GB2312"/>
          <w:b w:val="0"/>
          <w:bCs/>
          <w:lang w:val="en-US" w:eastAsia="zh-CN"/>
        </w:rPr>
        <w:t>严格按照财经法和预算法进行运转。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600" w:lineRule="exact"/>
        <w:textAlignment w:val="auto"/>
        <w:rPr>
          <w:rFonts w:hint="eastAsia" w:ascii="楷体_GB2312" w:hAnsi="宋体" w:eastAsia="楷体_GB2312"/>
          <w:b/>
          <w:lang w:val="en-US" w:eastAsia="zh-CN"/>
        </w:rPr>
      </w:pPr>
      <w:r>
        <w:rPr>
          <w:rFonts w:hint="eastAsia" w:ascii="仿宋_GB2312" w:hAnsi="仿宋_GB2312" w:cs="仿宋_GB2312"/>
          <w:b w:val="0"/>
          <w:bCs/>
          <w:lang w:val="en-US" w:eastAsia="zh-CN"/>
        </w:rPr>
        <w:t xml:space="preserve">     （三）</w:t>
      </w:r>
      <w:r>
        <w:rPr>
          <w:rFonts w:hint="eastAsia" w:ascii="楷体_GB2312" w:hAnsi="宋体" w:eastAsia="楷体_GB2312"/>
          <w:b/>
          <w:lang w:val="en-US" w:eastAsia="zh-CN"/>
        </w:rPr>
        <w:t>项目绩效</w:t>
      </w:r>
    </w:p>
    <w:p>
      <w:pPr>
        <w:widowControl/>
        <w:adjustRightInd w:val="0"/>
        <w:snapToGrid w:val="0"/>
        <w:spacing w:line="580" w:lineRule="exact"/>
        <w:ind w:firstLine="320" w:firstLineChars="100"/>
        <w:contextualSpacing/>
        <w:jc w:val="left"/>
        <w:rPr>
          <w:rFonts w:ascii="仿宋_GB2312" w:hAnsi="宋体"/>
          <w:lang w:val="zh-CN"/>
        </w:rPr>
      </w:pPr>
      <w:r>
        <w:rPr>
          <w:rFonts w:hint="eastAsia" w:ascii="仿宋_GB2312" w:hAnsi="宋体"/>
          <w:lang w:val="en-US" w:eastAsia="zh-CN"/>
        </w:rPr>
        <w:t xml:space="preserve">    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该项目的设立</w:t>
      </w:r>
      <w:r>
        <w:rPr>
          <w:rFonts w:hint="eastAsia" w:ascii="仿宋_GB2312" w:hAnsi="仿宋_GB2312" w:cs="仿宋_GB2312"/>
          <w:sz w:val="32"/>
          <w:szCs w:val="32"/>
          <w:lang w:eastAsia="zh-CN"/>
        </w:rPr>
        <w:t>保障了全县政法委业务培训工作顺利开展，为全县社会稳定保驾护航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。</w:t>
      </w:r>
    </w:p>
    <w:p>
      <w:pPr>
        <w:adjustRightInd w:val="0"/>
        <w:snapToGrid w:val="0"/>
        <w:spacing w:line="600" w:lineRule="exact"/>
        <w:ind w:firstLine="720"/>
        <w:rPr>
          <w:rFonts w:ascii="黑体" w:hAnsi="宋体" w:eastAsia="黑体"/>
        </w:rPr>
      </w:pPr>
      <w:r>
        <w:rPr>
          <w:rFonts w:hint="eastAsia" w:ascii="黑体" w:hAnsi="宋体" w:eastAsia="黑体"/>
        </w:rPr>
        <w:t>五、评价结论及建议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（一）评价结论。根据《峨边彝族自治县财政局 关于开展20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22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年财政绩效评价工作的通知》文件精神，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我单位认真组织开展了部门整体支出绩效评价工作，绩效评价自评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得分：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97</w:t>
      </w: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分。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（二）存在问题。</w:t>
      </w:r>
    </w:p>
    <w:p>
      <w:pPr>
        <w:widowControl/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>
      <w:pPr>
        <w:widowControl/>
        <w:numPr>
          <w:ilvl w:val="0"/>
          <w:numId w:val="5"/>
        </w:numPr>
        <w:adjustRightInd w:val="0"/>
        <w:snapToGrid w:val="0"/>
        <w:spacing w:line="580" w:lineRule="exact"/>
        <w:ind w:firstLine="640" w:firstLineChars="200"/>
        <w:contextualSpacing/>
        <w:jc w:val="left"/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zh-CN"/>
        </w:rPr>
        <w:t>改进建议。</w:t>
      </w:r>
    </w:p>
    <w:p>
      <w:pPr>
        <w:adjustRightInd w:val="0"/>
        <w:snapToGrid w:val="0"/>
        <w:spacing w:line="600" w:lineRule="exact"/>
        <w:ind w:firstLine="720"/>
      </w:pPr>
      <w:r>
        <w:rPr>
          <w:rFonts w:hint="eastAsia" w:ascii="仿宋_GB2312" w:hAnsi="宋体" w:cs="宋体"/>
          <w:color w:val="000000"/>
          <w:kern w:val="0"/>
          <w:szCs w:val="32"/>
          <w:shd w:val="clear" w:color="auto" w:fill="FFFFFF"/>
          <w:lang w:val="en-US" w:eastAsia="zh-CN"/>
        </w:rPr>
        <w:t>无</w:t>
      </w:r>
    </w:p>
    <w:p/>
    <w:p>
      <w:pPr>
        <w:adjustRightInd w:val="0"/>
        <w:snapToGrid w:val="0"/>
        <w:spacing w:line="600" w:lineRule="exact"/>
        <w:ind w:firstLine="720"/>
      </w:pPr>
    </w:p>
    <w:sectPr>
      <w:pgSz w:w="11906" w:h="16838"/>
      <w:pgMar w:top="1440" w:right="1633" w:bottom="1440" w:left="1633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??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方正黑体_GBK">
    <w:altName w:val="微软雅黑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Palatino Linotype">
    <w:panose1 w:val="02040502050505030304"/>
    <w:charset w:val="00"/>
    <w:family w:val="auto"/>
    <w:pitch w:val="default"/>
    <w:sig w:usb0="E0000287" w:usb1="40000013" w:usb2="00000000" w:usb3="00000000" w:csb0="2000019F" w:csb1="00000000"/>
  </w:font>
  <w:font w:name="Lucida Sans Unicode">
    <w:panose1 w:val="020B0602030504020204"/>
    <w:charset w:val="00"/>
    <w:family w:val="auto"/>
    <w:pitch w:val="default"/>
    <w:sig w:usb0="80001AFF" w:usb1="0000396B" w:usb2="00000000" w:usb3="00000000" w:csb0="200000BF" w:csb1="D7F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C77CE77"/>
    <w:multiLevelType w:val="singleLevel"/>
    <w:tmpl w:val="FC77CE77"/>
    <w:lvl w:ilvl="0" w:tentative="0">
      <w:start w:val="3"/>
      <w:numFmt w:val="chineseCounting"/>
      <w:suff w:val="nothing"/>
      <w:lvlText w:val="（%1）"/>
      <w:lvlJc w:val="left"/>
      <w:rPr>
        <w:rFonts w:hint="eastAsia"/>
      </w:rPr>
    </w:lvl>
  </w:abstractNum>
  <w:abstractNum w:abstractNumId="1">
    <w:nsid w:val="60DAE942"/>
    <w:multiLevelType w:val="singleLevel"/>
    <w:tmpl w:val="60DAE942"/>
    <w:lvl w:ilvl="0" w:tentative="0">
      <w:start w:val="2"/>
      <w:numFmt w:val="chineseCounting"/>
      <w:suff w:val="nothing"/>
      <w:lvlText w:val="（%1）"/>
      <w:lvlJc w:val="left"/>
    </w:lvl>
  </w:abstractNum>
  <w:abstractNum w:abstractNumId="2">
    <w:nsid w:val="6555C7E4"/>
    <w:multiLevelType w:val="singleLevel"/>
    <w:tmpl w:val="6555C7E4"/>
    <w:lvl w:ilvl="0" w:tentative="0">
      <w:start w:val="3"/>
      <w:numFmt w:val="decimal"/>
      <w:suff w:val="nothing"/>
      <w:lvlText w:val="%1．"/>
      <w:lvlJc w:val="left"/>
    </w:lvl>
  </w:abstractNum>
  <w:abstractNum w:abstractNumId="3">
    <w:nsid w:val="6555C843"/>
    <w:multiLevelType w:val="singleLevel"/>
    <w:tmpl w:val="6555C843"/>
    <w:lvl w:ilvl="0" w:tentative="0">
      <w:start w:val="2"/>
      <w:numFmt w:val="decimal"/>
      <w:suff w:val="nothing"/>
      <w:lvlText w:val="%1．"/>
      <w:lvlJc w:val="left"/>
    </w:lvl>
  </w:abstractNum>
  <w:abstractNum w:abstractNumId="4">
    <w:nsid w:val="6555C9A5"/>
    <w:multiLevelType w:val="singleLevel"/>
    <w:tmpl w:val="6555C9A5"/>
    <w:lvl w:ilvl="0" w:tentative="0">
      <w:start w:val="1"/>
      <w:numFmt w:val="chineseCounting"/>
      <w:suff w:val="nothing"/>
      <w:lvlText w:val="（%1）"/>
      <w:lvlJc w:val="left"/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UxNjFmMzVhYmRmMjFjZDYxYzZmMDA5NjI2ZjA5ZjcifQ=="/>
  </w:docVars>
  <w:rsids>
    <w:rsidRoot w:val="291C455A"/>
    <w:rsid w:val="001B1813"/>
    <w:rsid w:val="002A5E78"/>
    <w:rsid w:val="003315AE"/>
    <w:rsid w:val="0049716B"/>
    <w:rsid w:val="006F6CE7"/>
    <w:rsid w:val="00C073E9"/>
    <w:rsid w:val="00E42B1E"/>
    <w:rsid w:val="0D466608"/>
    <w:rsid w:val="0D850CC5"/>
    <w:rsid w:val="19B536B9"/>
    <w:rsid w:val="203262CD"/>
    <w:rsid w:val="291C455A"/>
    <w:rsid w:val="2A502512"/>
    <w:rsid w:val="36926D0C"/>
    <w:rsid w:val="414A628B"/>
    <w:rsid w:val="59D278AB"/>
    <w:rsid w:val="62BA63E9"/>
    <w:rsid w:val="673E27F9"/>
    <w:rsid w:val="690E7CA8"/>
    <w:rsid w:val="6EF16389"/>
    <w:rsid w:val="74276058"/>
    <w:rsid w:val="77677AB3"/>
    <w:rsid w:val="79016D9C"/>
    <w:rsid w:val="7A7F2B65"/>
    <w:rsid w:val="7B23700B"/>
    <w:rsid w:val="FFA371D6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  <w:szCs w:val="3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itle"/>
    <w:basedOn w:val="1"/>
    <w:next w:val="1"/>
    <w:qFormat/>
    <w:uiPriority w:val="0"/>
    <w:pPr>
      <w:widowControl w:val="0"/>
      <w:spacing w:before="240" w:after="60"/>
      <w:jc w:val="center"/>
      <w:outlineLvl w:val="0"/>
    </w:pPr>
    <w:rPr>
      <w:rFonts w:hint="default" w:ascii="Cambria" w:hAnsi="Cambria" w:cs="Times New Roman"/>
      <w:b/>
      <w:kern w:val="2"/>
      <w:sz w:val="32"/>
      <w:szCs w:val="32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customStyle="1" w:styleId="7">
    <w:name w:val="四号正文"/>
    <w:basedOn w:val="1"/>
    <w:qFormat/>
    <w:uiPriority w:val="0"/>
    <w:pPr>
      <w:spacing w:line="360" w:lineRule="auto"/>
    </w:pPr>
    <w:rPr>
      <w:rFonts w:ascii="??" w:hAnsi="??" w:eastAsia="宋体"/>
      <w:color w:val="000000"/>
      <w:kern w:val="0"/>
      <w:sz w:val="28"/>
      <w:szCs w:val="21"/>
      <w:lang w:val="zh-C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200</Words>
  <Characters>1144</Characters>
  <Lines>9</Lines>
  <Paragraphs>2</Paragraphs>
  <ScaleCrop>false</ScaleCrop>
  <LinksUpToDate>false</LinksUpToDate>
  <CharactersWithSpaces>1342</CharactersWithSpaces>
  <Application>WPS Office_10.1.0.6260_F1E327BC-269C-435d-A152-05C5408002CA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2020-06-30T16:19:00Z</dcterms:created>
  <dc:creator>Administrator</dc:creator>
  <cp:lastModifiedBy>Administrator</cp:lastModifiedBy>
  <cp:lastPrinted>2022-03-15T02:21:00Z</cp:lastPrinted>
  <dcterms:modified xsi:type="dcterms:W3CDTF">2023-11-16T09:52:22Z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  <property fmtid="{D5CDD505-2E9C-101B-9397-08002B2CF9AE}" pid="3" name="ICV">
    <vt:lpwstr>2295F6004E7C4908A6170C90E5C595B7</vt:lpwstr>
  </property>
</Properties>
</file>